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0B0" w:rsidRPr="008340B0" w:rsidRDefault="008340B0" w:rsidP="00705D6D">
      <w:pPr>
        <w:spacing w:after="0" w:line="480" w:lineRule="auto"/>
        <w:contextualSpacing/>
        <w:jc w:val="center"/>
        <w:rPr>
          <w:rFonts w:ascii="Times New Roman" w:hAnsi="Times New Roman" w:cs="Times New Roman"/>
          <w:b/>
          <w:sz w:val="24"/>
          <w:szCs w:val="24"/>
        </w:rPr>
      </w:pPr>
    </w:p>
    <w:p w:rsidR="008340B0" w:rsidRPr="008340B0" w:rsidRDefault="008340B0" w:rsidP="00705D6D">
      <w:pPr>
        <w:spacing w:after="0" w:line="480" w:lineRule="auto"/>
        <w:contextualSpacing/>
        <w:jc w:val="center"/>
        <w:rPr>
          <w:rFonts w:ascii="Times New Roman" w:hAnsi="Times New Roman" w:cs="Times New Roman"/>
          <w:b/>
          <w:sz w:val="24"/>
          <w:szCs w:val="24"/>
        </w:rPr>
      </w:pPr>
    </w:p>
    <w:p w:rsidR="008340B0" w:rsidRPr="008340B0" w:rsidRDefault="008340B0" w:rsidP="00705D6D">
      <w:pPr>
        <w:spacing w:after="0" w:line="480" w:lineRule="auto"/>
        <w:contextualSpacing/>
        <w:jc w:val="center"/>
        <w:rPr>
          <w:rFonts w:ascii="Times New Roman" w:hAnsi="Times New Roman" w:cs="Times New Roman"/>
          <w:b/>
          <w:sz w:val="24"/>
          <w:szCs w:val="24"/>
        </w:rPr>
      </w:pPr>
    </w:p>
    <w:p w:rsidR="006A1EFF" w:rsidRDefault="008340B0" w:rsidP="00705D6D">
      <w:pPr>
        <w:spacing w:after="0" w:line="480" w:lineRule="auto"/>
        <w:contextualSpacing/>
        <w:jc w:val="center"/>
        <w:rPr>
          <w:rFonts w:ascii="Times New Roman" w:hAnsi="Times New Roman" w:cs="Times New Roman"/>
          <w:b/>
          <w:i/>
          <w:sz w:val="24"/>
          <w:szCs w:val="24"/>
        </w:rPr>
      </w:pPr>
      <w:r w:rsidRPr="008340B0">
        <w:rPr>
          <w:rFonts w:ascii="Times New Roman" w:hAnsi="Times New Roman" w:cs="Times New Roman"/>
          <w:b/>
          <w:sz w:val="24"/>
          <w:szCs w:val="24"/>
        </w:rPr>
        <w:t xml:space="preserve">An Article Review of </w:t>
      </w:r>
      <w:r w:rsidRPr="008340B0">
        <w:rPr>
          <w:rFonts w:ascii="Times New Roman" w:hAnsi="Times New Roman" w:cs="Times New Roman"/>
          <w:b/>
          <w:i/>
          <w:sz w:val="24"/>
          <w:szCs w:val="24"/>
        </w:rPr>
        <w:t>Remdesivir for the Treatment of Covid-19 — Final Report</w:t>
      </w:r>
    </w:p>
    <w:p w:rsidR="008340B0" w:rsidRDefault="008340B0" w:rsidP="00705D6D">
      <w:pPr>
        <w:spacing w:after="0" w:line="480" w:lineRule="auto"/>
        <w:contextualSpacing/>
        <w:jc w:val="center"/>
        <w:rPr>
          <w:rFonts w:ascii="Times New Roman" w:hAnsi="Times New Roman" w:cs="Times New Roman"/>
          <w:b/>
          <w:i/>
          <w:sz w:val="24"/>
          <w:szCs w:val="24"/>
        </w:rPr>
      </w:pPr>
    </w:p>
    <w:p w:rsidR="008340B0" w:rsidRDefault="008340B0" w:rsidP="00705D6D">
      <w:pPr>
        <w:spacing w:after="0" w:line="480" w:lineRule="auto"/>
        <w:contextualSpacing/>
        <w:jc w:val="center"/>
        <w:rPr>
          <w:rFonts w:ascii="Times New Roman" w:hAnsi="Times New Roman" w:cs="Times New Roman"/>
          <w:b/>
          <w:i/>
          <w:sz w:val="24"/>
          <w:szCs w:val="24"/>
        </w:rPr>
      </w:pPr>
    </w:p>
    <w:p w:rsidR="008340B0" w:rsidRDefault="008340B0" w:rsidP="00705D6D">
      <w:pPr>
        <w:spacing w:after="0" w:line="480" w:lineRule="auto"/>
        <w:contextualSpacing/>
        <w:jc w:val="center"/>
        <w:rPr>
          <w:rFonts w:ascii="Times New Roman" w:hAnsi="Times New Roman" w:cs="Times New Roman"/>
          <w:b/>
          <w:i/>
          <w:sz w:val="24"/>
          <w:szCs w:val="24"/>
        </w:rPr>
      </w:pPr>
    </w:p>
    <w:p w:rsidR="008340B0" w:rsidRDefault="008340B0" w:rsidP="00705D6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Student’s Name</w:t>
      </w:r>
    </w:p>
    <w:p w:rsidR="008340B0" w:rsidRDefault="008340B0" w:rsidP="00705D6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Department and University</w:t>
      </w:r>
    </w:p>
    <w:p w:rsidR="008340B0" w:rsidRDefault="008340B0" w:rsidP="00705D6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Course Code and Name</w:t>
      </w:r>
    </w:p>
    <w:p w:rsidR="008340B0" w:rsidRDefault="008340B0" w:rsidP="00705D6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Professor’s Name</w:t>
      </w:r>
    </w:p>
    <w:p w:rsidR="008340B0" w:rsidRDefault="008340B0" w:rsidP="00705D6D">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Date of Submission </w:t>
      </w:r>
    </w:p>
    <w:p w:rsidR="008340B0" w:rsidRDefault="008340B0" w:rsidP="00705D6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br w:type="page"/>
      </w:r>
    </w:p>
    <w:p w:rsidR="00584B0E" w:rsidRDefault="008340B0" w:rsidP="00705D6D">
      <w:pPr>
        <w:spacing w:after="0" w:line="480" w:lineRule="auto"/>
        <w:contextualSpacing/>
        <w:jc w:val="center"/>
        <w:rPr>
          <w:rFonts w:ascii="Times New Roman" w:hAnsi="Times New Roman" w:cs="Times New Roman"/>
          <w:b/>
          <w:i/>
          <w:sz w:val="24"/>
          <w:szCs w:val="24"/>
        </w:rPr>
      </w:pPr>
      <w:r w:rsidRPr="008340B0">
        <w:rPr>
          <w:rFonts w:ascii="Times New Roman" w:hAnsi="Times New Roman" w:cs="Times New Roman"/>
          <w:b/>
          <w:sz w:val="24"/>
          <w:szCs w:val="24"/>
        </w:rPr>
        <w:lastRenderedPageBreak/>
        <w:t xml:space="preserve">An Article Review of </w:t>
      </w:r>
      <w:r w:rsidRPr="008340B0">
        <w:rPr>
          <w:rFonts w:ascii="Times New Roman" w:hAnsi="Times New Roman" w:cs="Times New Roman"/>
          <w:b/>
          <w:i/>
          <w:sz w:val="24"/>
          <w:szCs w:val="24"/>
        </w:rPr>
        <w:t>Remdesivir for the Treatment of Covid-19 — Final Report</w:t>
      </w:r>
    </w:p>
    <w:p w:rsidR="00584B0E" w:rsidRDefault="00584B0E" w:rsidP="00705D6D">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Article Findings</w:t>
      </w:r>
    </w:p>
    <w:p w:rsidR="00584B0E" w:rsidRPr="00A81D8F" w:rsidRDefault="00A81D8F" w:rsidP="00705D6D">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article suggests higher recovery rates for patients undergoing the intervention strategy (the Remdesivir) than the control group</w:t>
      </w:r>
      <w:r w:rsidR="00C626A0">
        <w:rPr>
          <w:rFonts w:ascii="Times New Roman" w:hAnsi="Times New Roman" w:cs="Times New Roman"/>
          <w:sz w:val="24"/>
          <w:szCs w:val="24"/>
        </w:rPr>
        <w:t xml:space="preserve"> </w:t>
      </w:r>
      <w:r>
        <w:rPr>
          <w:rFonts w:ascii="Times New Roman" w:hAnsi="Times New Roman" w:cs="Times New Roman"/>
          <w:sz w:val="24"/>
          <w:szCs w:val="24"/>
        </w:rPr>
        <w:t xml:space="preserve">(the placebo). According to the research article, patients receiving the intervention strategy had a median recovery period of ten days with a ninety-five percent statistical interval compared to only fifteen days for those recruited in the placebo. The analysis of statistical significance </w:t>
      </w:r>
      <w:r w:rsidR="008D2074">
        <w:rPr>
          <w:rFonts w:ascii="Times New Roman" w:hAnsi="Times New Roman" w:cs="Times New Roman"/>
          <w:sz w:val="24"/>
          <w:szCs w:val="24"/>
        </w:rPr>
        <w:t>applied the proportional-odds strategy</w:t>
      </w:r>
      <w:r w:rsidR="00C40FC9">
        <w:rPr>
          <w:rFonts w:ascii="Times New Roman" w:hAnsi="Times New Roman" w:cs="Times New Roman"/>
          <w:sz w:val="24"/>
          <w:szCs w:val="24"/>
        </w:rPr>
        <w:t xml:space="preserve"> having an eight-model ordinal scale, finding that patients using the intervention model were more probable than those use using the control strategy to experience clinically better outcomes within the first fifteen days of the experimentation. </w:t>
      </w:r>
      <w:r w:rsidR="00E96A8D">
        <w:rPr>
          <w:rFonts w:ascii="Times New Roman" w:hAnsi="Times New Roman" w:cs="Times New Roman"/>
          <w:sz w:val="24"/>
          <w:szCs w:val="24"/>
        </w:rPr>
        <w:t xml:space="preserve">The intervention group reported lower mortality rates (6.7%) using the Kaplan </w:t>
      </w:r>
      <w:r w:rsidR="009468E8">
        <w:rPr>
          <w:rFonts w:ascii="Times New Roman" w:hAnsi="Times New Roman" w:cs="Times New Roman"/>
          <w:sz w:val="24"/>
          <w:szCs w:val="24"/>
        </w:rPr>
        <w:t xml:space="preserve">Meier scale than the control group (15.2%). Critical adverse events were less reported in intervention patients than the control group—131 of 532 patients compared to 163 of 516. </w:t>
      </w:r>
      <w:r w:rsidR="0031095F">
        <w:rPr>
          <w:rFonts w:ascii="Times New Roman" w:hAnsi="Times New Roman" w:cs="Times New Roman"/>
          <w:sz w:val="24"/>
          <w:szCs w:val="24"/>
        </w:rPr>
        <w:t xml:space="preserve">Therefore, the primary outcome was that compared to the intervention group, patients in the control experiment had lower Covid-19 recovery rates. </w:t>
      </w:r>
    </w:p>
    <w:p w:rsidR="009468E8" w:rsidRDefault="00584B0E" w:rsidP="00705D6D">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Study Design</w:t>
      </w:r>
    </w:p>
    <w:p w:rsidR="00584B0E" w:rsidRDefault="0076008B" w:rsidP="00705D6D">
      <w:pPr>
        <w:spacing w:after="0" w:line="480" w:lineRule="auto"/>
        <w:ind w:firstLine="720"/>
        <w:contextualSpacing/>
        <w:rPr>
          <w:rFonts w:ascii="Times New Roman" w:hAnsi="Times New Roman" w:cs="Times New Roman"/>
          <w:b/>
          <w:sz w:val="24"/>
          <w:szCs w:val="24"/>
        </w:rPr>
      </w:pPr>
      <w:r>
        <w:rPr>
          <w:rFonts w:ascii="Times New Roman" w:hAnsi="Times New Roman" w:cs="Times New Roman"/>
          <w:sz w:val="24"/>
          <w:szCs w:val="24"/>
        </w:rPr>
        <w:t>The authors adopted a double-blind, randomized placebo-controlled trial approach (</w:t>
      </w:r>
      <w:r w:rsidR="00623D22" w:rsidRPr="00623D22">
        <w:rPr>
          <w:rFonts w:ascii="Times New Roman" w:hAnsi="Times New Roman" w:cs="Times New Roman"/>
          <w:sz w:val="24"/>
          <w:szCs w:val="24"/>
        </w:rPr>
        <w:t>Beigel</w:t>
      </w:r>
      <w:r w:rsidR="00623D22">
        <w:rPr>
          <w:rFonts w:ascii="Times New Roman" w:hAnsi="Times New Roman" w:cs="Times New Roman"/>
          <w:sz w:val="24"/>
          <w:szCs w:val="24"/>
        </w:rPr>
        <w:t xml:space="preserve"> et al., 2020</w:t>
      </w:r>
      <w:r>
        <w:rPr>
          <w:rFonts w:ascii="Times New Roman" w:hAnsi="Times New Roman" w:cs="Times New Roman"/>
          <w:sz w:val="24"/>
          <w:szCs w:val="24"/>
        </w:rPr>
        <w:t xml:space="preserve">). Accordingly, the researchers used </w:t>
      </w:r>
      <w:r w:rsidR="00E37789">
        <w:rPr>
          <w:rFonts w:ascii="Times New Roman" w:hAnsi="Times New Roman" w:cs="Times New Roman"/>
          <w:sz w:val="24"/>
          <w:szCs w:val="24"/>
        </w:rPr>
        <w:t xml:space="preserve">an intravenous remdesivir in grown-ups hospitalized with the coronavirus and depicting signs of low respiratory tract complications. As the article reveals, </w:t>
      </w:r>
      <w:r w:rsidR="00705D6D">
        <w:rPr>
          <w:rFonts w:ascii="Times New Roman" w:hAnsi="Times New Roman" w:cs="Times New Roman"/>
          <w:sz w:val="24"/>
          <w:szCs w:val="24"/>
        </w:rPr>
        <w:t>the patients used in the study were randomly assigned to either a placebo or a</w:t>
      </w:r>
      <w:r w:rsidR="00450A06">
        <w:rPr>
          <w:rFonts w:ascii="Times New Roman" w:hAnsi="Times New Roman" w:cs="Times New Roman"/>
          <w:sz w:val="24"/>
          <w:szCs w:val="24"/>
        </w:rPr>
        <w:t xml:space="preserve"> ten-day remdesivir administration</w:t>
      </w:r>
      <w:r w:rsidR="00705D6D">
        <w:rPr>
          <w:rFonts w:ascii="Times New Roman" w:hAnsi="Times New Roman" w:cs="Times New Roman"/>
          <w:sz w:val="24"/>
          <w:szCs w:val="24"/>
        </w:rPr>
        <w:t>. The major outcome was to determine the duration of recovery, which was determined by either the hospitalization for infection-control or discharge from the hospital.</w:t>
      </w:r>
      <w:r w:rsidR="00E46BBF">
        <w:rPr>
          <w:rFonts w:ascii="Times New Roman" w:hAnsi="Times New Roman" w:cs="Times New Roman"/>
          <w:sz w:val="24"/>
          <w:szCs w:val="24"/>
        </w:rPr>
        <w:t xml:space="preserve"> According to the article, 1062 out of the 1114 assessed for eligibility for the </w:t>
      </w:r>
      <w:r w:rsidR="00E46BBF">
        <w:rPr>
          <w:rFonts w:ascii="Times New Roman" w:hAnsi="Times New Roman" w:cs="Times New Roman"/>
          <w:sz w:val="24"/>
          <w:szCs w:val="24"/>
        </w:rPr>
        <w:lastRenderedPageBreak/>
        <w:t xml:space="preserve">study were involved in the randomization, out of which </w:t>
      </w:r>
      <w:r w:rsidR="00CC7614">
        <w:rPr>
          <w:rFonts w:ascii="Times New Roman" w:hAnsi="Times New Roman" w:cs="Times New Roman"/>
          <w:sz w:val="24"/>
          <w:szCs w:val="24"/>
        </w:rPr>
        <w:t xml:space="preserve">541 and 521 were assigned to </w:t>
      </w:r>
      <w:r w:rsidR="003D7021">
        <w:rPr>
          <w:rFonts w:ascii="Times New Roman" w:hAnsi="Times New Roman" w:cs="Times New Roman"/>
          <w:sz w:val="24"/>
          <w:szCs w:val="24"/>
        </w:rPr>
        <w:t xml:space="preserve">the intervention and control groups respectively. </w:t>
      </w:r>
      <w:r w:rsidR="00705D6D">
        <w:rPr>
          <w:rFonts w:ascii="Times New Roman" w:hAnsi="Times New Roman" w:cs="Times New Roman"/>
          <w:sz w:val="24"/>
          <w:szCs w:val="24"/>
        </w:rPr>
        <w:t xml:space="preserve"> </w:t>
      </w:r>
      <w:r w:rsidR="00E37789">
        <w:rPr>
          <w:rFonts w:ascii="Times New Roman" w:hAnsi="Times New Roman" w:cs="Times New Roman"/>
          <w:sz w:val="24"/>
          <w:szCs w:val="24"/>
        </w:rPr>
        <w:t xml:space="preserve">  </w:t>
      </w:r>
    </w:p>
    <w:p w:rsidR="00584B0E" w:rsidRDefault="00584B0E" w:rsidP="00705D6D">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Course of Treatment</w:t>
      </w:r>
    </w:p>
    <w:p w:rsidR="000935BF" w:rsidRPr="00C42431" w:rsidRDefault="00C42431" w:rsidP="00E45A9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Of the patients assigned to the intervention strategy, 531, representing 98.2%, obtained the assigned treatment. According to the study, fifty-two patients in this group had the intervention withdrawn before the tenth day because of the reported adverse events other than mortality, while ten withdrew after informed consent. 517 patients in this group received the placebo intervention as planned</w:t>
      </w:r>
      <w:r w:rsidR="00E45A94">
        <w:rPr>
          <w:rFonts w:ascii="Times New Roman" w:hAnsi="Times New Roman" w:cs="Times New Roman"/>
          <w:sz w:val="24"/>
          <w:szCs w:val="24"/>
        </w:rPr>
        <w:t xml:space="preserve">, but seventy of them discontinued the process before the tenth day after experiencing adverse events apart from death, with fourteen giving up after informed consent. </w:t>
      </w:r>
    </w:p>
    <w:p w:rsidR="00584B0E" w:rsidRDefault="00584B0E" w:rsidP="00705D6D">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Adverse Events</w:t>
      </w:r>
    </w:p>
    <w:p w:rsidR="00A158AA" w:rsidRPr="00A158AA" w:rsidRDefault="00B072B4" w:rsidP="00B072B4">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study’s major adverse events were lack of recovery from the virus (coronavirus), resulting into mortalities. According to the study, patients in the control group experienced more adverse outcomes than those from the intervention side, implying that they had longer hospital stays and death rates. However, as noted from the article, non-serious events included those that escalated symptoms, but did not necessarily lead to prolonged hospital stays and mortalities. </w:t>
      </w:r>
    </w:p>
    <w:p w:rsidR="00584B0E" w:rsidRDefault="00584B0E" w:rsidP="00E9693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Study Limitations</w:t>
      </w:r>
    </w:p>
    <w:p w:rsidR="00623D22" w:rsidRDefault="00623D22" w:rsidP="00623D2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study does not mention or describe the methodological limitations in data collection and analysis. Therefore, findings issues with the credibility of the findings lies in the critical analysis of the strategies used in data collection, including an thorough understanding of using randomized controlled studies to inform findings. </w:t>
      </w:r>
    </w:p>
    <w:p w:rsidR="00623D22" w:rsidRDefault="00623D22">
      <w:pPr>
        <w:rPr>
          <w:rFonts w:ascii="Times New Roman" w:hAnsi="Times New Roman" w:cs="Times New Roman"/>
          <w:sz w:val="24"/>
          <w:szCs w:val="24"/>
        </w:rPr>
      </w:pPr>
      <w:r>
        <w:rPr>
          <w:rFonts w:ascii="Times New Roman" w:hAnsi="Times New Roman" w:cs="Times New Roman"/>
          <w:sz w:val="24"/>
          <w:szCs w:val="24"/>
        </w:rPr>
        <w:br w:type="page"/>
      </w:r>
    </w:p>
    <w:p w:rsidR="00623D22" w:rsidRDefault="00623D22" w:rsidP="00623D22">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Reference </w:t>
      </w:r>
    </w:p>
    <w:p w:rsidR="00623D22" w:rsidRPr="00623D22" w:rsidRDefault="00623D22" w:rsidP="00623D22">
      <w:pPr>
        <w:spacing w:after="0" w:line="480" w:lineRule="auto"/>
        <w:ind w:left="720" w:hanging="720"/>
        <w:contextualSpacing/>
        <w:rPr>
          <w:rFonts w:ascii="Times New Roman" w:hAnsi="Times New Roman" w:cs="Times New Roman"/>
          <w:sz w:val="24"/>
          <w:szCs w:val="24"/>
        </w:rPr>
      </w:pPr>
      <w:r w:rsidRPr="00623D22">
        <w:rPr>
          <w:rFonts w:ascii="Times New Roman" w:hAnsi="Times New Roman" w:cs="Times New Roman"/>
          <w:sz w:val="24"/>
          <w:szCs w:val="24"/>
        </w:rPr>
        <w:t>Beigel, J. H., Tomashek, K. M., Dodd, L. E., Mehta, A. K., Zingman, B. S., Kalil, A. C., ... &amp; Lane, H. C. (2020. </w:t>
      </w:r>
      <w:r w:rsidRPr="00623D22">
        <w:rPr>
          <w:rFonts w:ascii="Times New Roman" w:hAnsi="Times New Roman" w:cs="Times New Roman"/>
          <w:i/>
          <w:iCs/>
          <w:sz w:val="24"/>
          <w:szCs w:val="24"/>
        </w:rPr>
        <w:t>New England Journal of Medicin</w:t>
      </w:r>
      <w:r>
        <w:rPr>
          <w:rFonts w:ascii="Times New Roman" w:hAnsi="Times New Roman" w:cs="Times New Roman"/>
          <w:i/>
          <w:iCs/>
          <w:sz w:val="24"/>
          <w:szCs w:val="24"/>
        </w:rPr>
        <w:t>e, 12</w:t>
      </w:r>
      <w:r>
        <w:rPr>
          <w:rFonts w:ascii="Times New Roman" w:hAnsi="Times New Roman" w:cs="Times New Roman"/>
          <w:iCs/>
          <w:sz w:val="24"/>
          <w:szCs w:val="24"/>
        </w:rPr>
        <w:t xml:space="preserve">(34), 1813-1826. </w:t>
      </w:r>
      <w:r w:rsidRPr="00623D22">
        <w:rPr>
          <w:rFonts w:ascii="Times New Roman" w:hAnsi="Times New Roman" w:cs="Times New Roman"/>
          <w:iCs/>
          <w:sz w:val="24"/>
          <w:szCs w:val="24"/>
        </w:rPr>
        <w:t>10.1056/NEJMoa2007764</w:t>
      </w:r>
      <w:r>
        <w:rPr>
          <w:rFonts w:ascii="Times New Roman" w:hAnsi="Times New Roman" w:cs="Times New Roman"/>
          <w:iCs/>
          <w:sz w:val="24"/>
          <w:szCs w:val="24"/>
        </w:rPr>
        <w:t xml:space="preserve">. </w:t>
      </w:r>
    </w:p>
    <w:p w:rsidR="00623D22" w:rsidRPr="00623D22" w:rsidRDefault="00623D22" w:rsidP="00623D22">
      <w:pPr>
        <w:spacing w:after="0" w:line="480" w:lineRule="auto"/>
        <w:contextualSpacing/>
        <w:rPr>
          <w:rFonts w:ascii="Times New Roman" w:hAnsi="Times New Roman" w:cs="Times New Roman"/>
          <w:b/>
          <w:sz w:val="24"/>
          <w:szCs w:val="24"/>
        </w:rPr>
      </w:pPr>
    </w:p>
    <w:sectPr w:rsidR="00623D22" w:rsidRPr="00623D22" w:rsidSect="006A1EFF">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46B" w:rsidRDefault="003D546B" w:rsidP="008340B0">
      <w:pPr>
        <w:spacing w:after="0" w:line="240" w:lineRule="auto"/>
      </w:pPr>
      <w:r>
        <w:separator/>
      </w:r>
    </w:p>
  </w:endnote>
  <w:endnote w:type="continuationSeparator" w:id="1">
    <w:p w:rsidR="003D546B" w:rsidRDefault="003D546B" w:rsidP="008340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46B" w:rsidRDefault="003D546B" w:rsidP="008340B0">
      <w:pPr>
        <w:spacing w:after="0" w:line="240" w:lineRule="auto"/>
      </w:pPr>
      <w:r>
        <w:separator/>
      </w:r>
    </w:p>
  </w:footnote>
  <w:footnote w:type="continuationSeparator" w:id="1">
    <w:p w:rsidR="003D546B" w:rsidRDefault="003D546B" w:rsidP="008340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287110"/>
      <w:docPartObj>
        <w:docPartGallery w:val="Page Numbers (Top of Page)"/>
        <w:docPartUnique/>
      </w:docPartObj>
    </w:sdtPr>
    <w:sdtContent>
      <w:p w:rsidR="00623D22" w:rsidRPr="008340B0" w:rsidRDefault="00623D22">
        <w:pPr>
          <w:pStyle w:val="Header"/>
          <w:jc w:val="right"/>
          <w:rPr>
            <w:rFonts w:ascii="Times New Roman" w:hAnsi="Times New Roman" w:cs="Times New Roman"/>
            <w:sz w:val="24"/>
            <w:szCs w:val="24"/>
          </w:rPr>
        </w:pPr>
        <w:r w:rsidRPr="008340B0">
          <w:rPr>
            <w:rFonts w:ascii="Times New Roman" w:hAnsi="Times New Roman" w:cs="Times New Roman"/>
            <w:sz w:val="24"/>
            <w:szCs w:val="24"/>
          </w:rPr>
          <w:fldChar w:fldCharType="begin"/>
        </w:r>
        <w:r w:rsidRPr="008340B0">
          <w:rPr>
            <w:rFonts w:ascii="Times New Roman" w:hAnsi="Times New Roman" w:cs="Times New Roman"/>
            <w:sz w:val="24"/>
            <w:szCs w:val="24"/>
          </w:rPr>
          <w:instrText xml:space="preserve"> PAGE   \* MERGEFORMAT </w:instrText>
        </w:r>
        <w:r w:rsidRPr="008340B0">
          <w:rPr>
            <w:rFonts w:ascii="Times New Roman" w:hAnsi="Times New Roman" w:cs="Times New Roman"/>
            <w:sz w:val="24"/>
            <w:szCs w:val="24"/>
          </w:rPr>
          <w:fldChar w:fldCharType="separate"/>
        </w:r>
        <w:r w:rsidR="00B13C25">
          <w:rPr>
            <w:rFonts w:ascii="Times New Roman" w:hAnsi="Times New Roman" w:cs="Times New Roman"/>
            <w:noProof/>
            <w:sz w:val="24"/>
            <w:szCs w:val="24"/>
          </w:rPr>
          <w:t>4</w:t>
        </w:r>
        <w:r w:rsidRPr="008340B0">
          <w:rPr>
            <w:rFonts w:ascii="Times New Roman" w:hAnsi="Times New Roman" w:cs="Times New Roman"/>
            <w:sz w:val="24"/>
            <w:szCs w:val="24"/>
          </w:rPr>
          <w:fldChar w:fldCharType="end"/>
        </w:r>
      </w:p>
    </w:sdtContent>
  </w:sdt>
  <w:p w:rsidR="00623D22" w:rsidRDefault="00623D2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340B0"/>
    <w:rsid w:val="000935BF"/>
    <w:rsid w:val="001B41B4"/>
    <w:rsid w:val="002B6C83"/>
    <w:rsid w:val="0031095F"/>
    <w:rsid w:val="003D546B"/>
    <w:rsid w:val="003D7021"/>
    <w:rsid w:val="00450A06"/>
    <w:rsid w:val="00584B0E"/>
    <w:rsid w:val="00623D22"/>
    <w:rsid w:val="006A1EFF"/>
    <w:rsid w:val="006E0548"/>
    <w:rsid w:val="00705D6D"/>
    <w:rsid w:val="0076008B"/>
    <w:rsid w:val="008340B0"/>
    <w:rsid w:val="008D2074"/>
    <w:rsid w:val="009468E8"/>
    <w:rsid w:val="00A158AA"/>
    <w:rsid w:val="00A81D8F"/>
    <w:rsid w:val="00B072B4"/>
    <w:rsid w:val="00B13C25"/>
    <w:rsid w:val="00BF3AAE"/>
    <w:rsid w:val="00C40FC9"/>
    <w:rsid w:val="00C42431"/>
    <w:rsid w:val="00C626A0"/>
    <w:rsid w:val="00CC7614"/>
    <w:rsid w:val="00E3467A"/>
    <w:rsid w:val="00E37789"/>
    <w:rsid w:val="00E45A94"/>
    <w:rsid w:val="00E46BBF"/>
    <w:rsid w:val="00E96938"/>
    <w:rsid w:val="00E96A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EF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0B0"/>
  </w:style>
  <w:style w:type="paragraph" w:styleId="Footer">
    <w:name w:val="footer"/>
    <w:basedOn w:val="Normal"/>
    <w:link w:val="FooterChar"/>
    <w:uiPriority w:val="99"/>
    <w:semiHidden/>
    <w:unhideWhenUsed/>
    <w:rsid w:val="008340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40B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37142-AF88-41C1-AF8F-091C56B0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usrrr--</dc:creator>
  <cp:lastModifiedBy>usrrr--</cp:lastModifiedBy>
  <cp:revision>24</cp:revision>
  <dcterms:created xsi:type="dcterms:W3CDTF">2021-08-18T16:48:00Z</dcterms:created>
  <dcterms:modified xsi:type="dcterms:W3CDTF">2021-08-18T18:01:00Z</dcterms:modified>
</cp:coreProperties>
</file>